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7D5" w14:textId="01726E48" w:rsidR="004E0A0E" w:rsidRDefault="00CC44C2" w:rsidP="00CC44C2">
      <w:pPr>
        <w:pStyle w:val="Textkrper3"/>
        <w:spacing w:after="0" w:line="360" w:lineRule="auto"/>
        <w:rPr>
          <w:rFonts w:ascii="Arial" w:eastAsia="Calibri" w:hAnsi="Arial" w:cs="Arial"/>
          <w:color w:val="000000"/>
        </w:rPr>
      </w:pPr>
      <w:r>
        <w:rPr>
          <w:rFonts w:ascii="Arial" w:hAnsi="Arial"/>
          <w:sz w:val="36"/>
          <w:szCs w:val="36"/>
        </w:rPr>
        <w:t>TOP 632 A CURVETECH: Zgrabiarka dwukaruzelowa z praktycznym kierowaniem po łuku</w:t>
      </w:r>
    </w:p>
    <w:p w14:paraId="3777F57B" w14:textId="64638665" w:rsidR="00CC44C2" w:rsidRDefault="0025571A" w:rsidP="0025571A">
      <w:pPr>
        <w:autoSpaceDE w:val="0"/>
        <w:autoSpaceDN w:val="0"/>
        <w:adjustRightInd w:val="0"/>
        <w:spacing w:line="360" w:lineRule="auto"/>
        <w:jc w:val="both"/>
        <w:textAlignment w:val="center"/>
        <w:rPr>
          <w:rFonts w:ascii="Arial" w:eastAsia="Calibri" w:hAnsi="Arial" w:cs="Arial"/>
          <w:color w:val="000000"/>
        </w:rPr>
      </w:pPr>
      <w:bookmarkStart w:id="0" w:name="_Hlk43961323"/>
      <w:proofErr w:type="spellStart"/>
      <w:r>
        <w:rPr>
          <w:rFonts w:ascii="Arial" w:hAnsi="Arial"/>
          <w:color w:val="000000"/>
        </w:rPr>
        <w:t>Pöttinger</w:t>
      </w:r>
      <w:proofErr w:type="spellEnd"/>
      <w:r>
        <w:rPr>
          <w:rFonts w:ascii="Arial" w:hAnsi="Arial"/>
          <w:color w:val="000000"/>
        </w:rPr>
        <w:t xml:space="preserve"> prezentuje nową, zwrotną, dwukaruzelową zgrabiarkę TOP 632 A CURVETECH. Dużą elastyczność w pracy maszyna ta zawdzięcza kierowaniu po łuku tylnych karuzeli. Dzięki temu szerokości robocze można zmieniać w dużym zakresie, w zależności od tego jaka maszyna będzie pracowała jako następna na polu. Przeszkody czy praca na polu w kształcie klina nie stanowią żadnego problemu. Zgrabiarka dwukaruzelowa w trybie pracy odkładnia pokosu podwójnego osiąga szerokość roboczą do 6,3 m. </w:t>
      </w:r>
    </w:p>
    <w:p w14:paraId="7F308E86" w14:textId="51850FB9" w:rsidR="00CC44C2" w:rsidRDefault="00CC44C2"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Do odłożenia pokosu podwójnego lub dwóch pokosów pojedynczych, tylną karuzelę, która jest połączona z przednią przez elastyczną ramę, można przestawiać w lewą lub praw</w:t>
      </w:r>
      <w:r w:rsidR="00236E8A">
        <w:rPr>
          <w:rFonts w:ascii="Arial" w:hAnsi="Arial"/>
          <w:color w:val="000000"/>
        </w:rPr>
        <w:t>ą</w:t>
      </w:r>
      <w:r>
        <w:rPr>
          <w:rFonts w:ascii="Arial" w:hAnsi="Arial"/>
          <w:color w:val="000000"/>
        </w:rPr>
        <w:t xml:space="preserve"> stronę  przy pomocy siłownika hydraulicznego. </w:t>
      </w:r>
    </w:p>
    <w:p w14:paraId="61B02FFF" w14:textId="77777777" w:rsidR="00DE40E5" w:rsidRPr="00236E8A" w:rsidRDefault="00DE40E5" w:rsidP="0025571A">
      <w:pPr>
        <w:autoSpaceDE w:val="0"/>
        <w:autoSpaceDN w:val="0"/>
        <w:adjustRightInd w:val="0"/>
        <w:spacing w:line="360" w:lineRule="auto"/>
        <w:jc w:val="both"/>
        <w:textAlignment w:val="center"/>
        <w:rPr>
          <w:rFonts w:ascii="Arial" w:eastAsia="Calibri" w:hAnsi="Arial" w:cs="Arial"/>
          <w:b/>
          <w:bCs/>
          <w:color w:val="000000"/>
        </w:rPr>
      </w:pPr>
    </w:p>
    <w:p w14:paraId="39DD27A6" w14:textId="3FEC2765" w:rsidR="00CC44C2" w:rsidRPr="001475E1" w:rsidRDefault="001475E1"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Nowe kierowanie po łuku CURVETECH</w:t>
      </w:r>
    </w:p>
    <w:p w14:paraId="5F0B0B86" w14:textId="154088E1" w:rsidR="00CC44C2" w:rsidRDefault="001475E1"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CURVETECH nazywa </w:t>
      </w:r>
      <w:proofErr w:type="spellStart"/>
      <w:r>
        <w:rPr>
          <w:rFonts w:ascii="Arial" w:hAnsi="Arial"/>
          <w:color w:val="000000"/>
        </w:rPr>
        <w:t>Pöttinger</w:t>
      </w:r>
      <w:proofErr w:type="spellEnd"/>
      <w:r>
        <w:rPr>
          <w:rFonts w:ascii="Arial" w:hAnsi="Arial"/>
          <w:color w:val="000000"/>
        </w:rPr>
        <w:t xml:space="preserve"> automatyczne kierowanie wymuszone tylnych karuzeli czyli kierowanie po łuku. Do sterowania tylną karuzelą służą dwa siłowniki hydrauliczne. Dodatkowa sztanga między przednim punktem obrotu ramy głównej i siłownikiem hydraulicznym, służy podczas jazdy w zakręcie optymalizacji stopnia pokrycia obydwu karuzeli. Dzięki temu szerokość robocza jest wykorzystana optymalnie.</w:t>
      </w:r>
    </w:p>
    <w:p w14:paraId="503995B7" w14:textId="4C3164C6" w:rsidR="00DE40E5" w:rsidRPr="00236E8A" w:rsidRDefault="00DE40E5" w:rsidP="0025571A">
      <w:pPr>
        <w:autoSpaceDE w:val="0"/>
        <w:autoSpaceDN w:val="0"/>
        <w:adjustRightInd w:val="0"/>
        <w:spacing w:line="360" w:lineRule="auto"/>
        <w:jc w:val="both"/>
        <w:textAlignment w:val="center"/>
        <w:rPr>
          <w:rFonts w:ascii="Arial" w:eastAsia="Calibri" w:hAnsi="Arial" w:cs="Arial"/>
          <w:color w:val="000000"/>
        </w:rPr>
      </w:pPr>
    </w:p>
    <w:p w14:paraId="1DF3CADC" w14:textId="0454BCA5" w:rsidR="00DE40E5" w:rsidRPr="00DE40E5" w:rsidRDefault="00DE40E5"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Sterowanie preselekcyjne BASIC CONTROL</w:t>
      </w:r>
    </w:p>
    <w:p w14:paraId="140EC5FE" w14:textId="5927B5EB" w:rsidR="00DE40E5" w:rsidRPr="00DE40E5" w:rsidRDefault="00DE40E5" w:rsidP="00903022">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TOP 632 A CURVETECH jest seryjnie wyposażony w BASIC CONTROL. Dzięki funkcji preselekcji komfort obsługi jest maksymalny. Do wyboru są następujące tryby pracy: pokos pojedynczy, pokos podwójny, manewrowanie, transport.</w:t>
      </w:r>
    </w:p>
    <w:p w14:paraId="7E13FFEE" w14:textId="4102F427" w:rsidR="001475E1" w:rsidRDefault="00DE40E5"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Obydwa siłowniki hydrauliczne do kierowania tylną karuzelą są sterowane automatycznie w taki sposób, żeby przy uruchomieniu zaworu tylna karuzela ustawiała się we właściwej pozycji.  Funkcja preselekcji hydraulicznego wychylenia fartucha pokosu stanowi wyposażenie seryjne.</w:t>
      </w:r>
    </w:p>
    <w:p w14:paraId="6ADE03E8" w14:textId="594FA248" w:rsidR="00DE40E5" w:rsidRPr="00236E8A" w:rsidRDefault="00DE40E5" w:rsidP="0025571A">
      <w:pPr>
        <w:autoSpaceDE w:val="0"/>
        <w:autoSpaceDN w:val="0"/>
        <w:adjustRightInd w:val="0"/>
        <w:spacing w:line="360" w:lineRule="auto"/>
        <w:jc w:val="both"/>
        <w:textAlignment w:val="center"/>
        <w:rPr>
          <w:rFonts w:ascii="Arial" w:eastAsia="Calibri" w:hAnsi="Arial" w:cs="Arial"/>
          <w:color w:val="000000"/>
        </w:rPr>
      </w:pPr>
    </w:p>
    <w:p w14:paraId="5F119AC4" w14:textId="295D5663" w:rsidR="002F76F1" w:rsidRPr="002F76F1" w:rsidRDefault="002F76F1"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 xml:space="preserve">Perfekcyjne kopiowanie nierówności pola </w:t>
      </w:r>
    </w:p>
    <w:bookmarkEnd w:id="0"/>
    <w:p w14:paraId="36183EFB" w14:textId="79A1131C" w:rsidR="0025571A" w:rsidRDefault="0025571A" w:rsidP="0025571A">
      <w:pPr>
        <w:spacing w:line="360" w:lineRule="auto"/>
        <w:jc w:val="both"/>
        <w:rPr>
          <w:rFonts w:ascii="Arial" w:eastAsia="Calibri" w:hAnsi="Arial" w:cs="Arial"/>
          <w:color w:val="000000"/>
          <w:spacing w:val="2"/>
        </w:rPr>
      </w:pPr>
      <w:r>
        <w:rPr>
          <w:rFonts w:ascii="Arial" w:hAnsi="Arial"/>
          <w:color w:val="000000"/>
        </w:rPr>
        <w:t xml:space="preserve">Ciągane zgrabiarki dwukaruzelowe TOP A są seryjnie wyposażone w oś tandemową. Żaden stok nie jest dla nich zbyt stromy. Przy kopiowaniu terenu zgrabiarki TOP wspomaga dodatkowo podwójne, zamontowane po środku tylnej karuzeli koło kopiujące (na życzenie) oraz dostępne jako opcja cenione przez rolników koło MULTITAST. Zawieszenie </w:t>
      </w:r>
      <w:proofErr w:type="spellStart"/>
      <w:r>
        <w:rPr>
          <w:rFonts w:ascii="Arial" w:hAnsi="Arial"/>
          <w:color w:val="000000"/>
        </w:rPr>
        <w:t>kardaniczne</w:t>
      </w:r>
      <w:proofErr w:type="spellEnd"/>
      <w:r>
        <w:rPr>
          <w:rFonts w:ascii="Arial" w:hAnsi="Arial"/>
          <w:color w:val="000000"/>
        </w:rPr>
        <w:t xml:space="preserve"> tylnej karuzeli i duży zakres pracy przegubów ramy umożliwiają znakomite, trójwymiarowe dopasowanie karuzeli do każdej nierówności pola.  </w:t>
      </w:r>
    </w:p>
    <w:p w14:paraId="0E7231D7" w14:textId="77777777" w:rsidR="002F76F1" w:rsidRPr="00236E8A" w:rsidRDefault="002F76F1" w:rsidP="0025571A">
      <w:pPr>
        <w:spacing w:line="360" w:lineRule="auto"/>
        <w:jc w:val="both"/>
        <w:rPr>
          <w:rFonts w:ascii="Arial" w:eastAsia="Calibri" w:hAnsi="Arial" w:cs="Arial"/>
          <w:color w:val="000000"/>
        </w:rPr>
      </w:pPr>
    </w:p>
    <w:p w14:paraId="7480F673" w14:textId="77777777" w:rsidR="00903022" w:rsidRDefault="002F76F1" w:rsidP="002F76F1">
      <w:pPr>
        <w:spacing w:line="360" w:lineRule="auto"/>
        <w:jc w:val="both"/>
        <w:rPr>
          <w:rFonts w:ascii="Arial" w:eastAsia="Calibri" w:hAnsi="Arial" w:cs="Arial"/>
          <w:color w:val="000000"/>
          <w:spacing w:val="2"/>
        </w:rPr>
      </w:pPr>
      <w:r>
        <w:rPr>
          <w:rFonts w:ascii="Arial" w:hAnsi="Arial"/>
          <w:color w:val="000000"/>
        </w:rPr>
        <w:t xml:space="preserve">Nowy TOP 632 A CURVETECH od </w:t>
      </w:r>
      <w:proofErr w:type="spellStart"/>
      <w:r>
        <w:rPr>
          <w:rFonts w:ascii="Arial" w:hAnsi="Arial"/>
          <w:color w:val="000000"/>
        </w:rPr>
        <w:t>Pöttingera</w:t>
      </w:r>
      <w:proofErr w:type="spellEnd"/>
      <w:r>
        <w:rPr>
          <w:rFonts w:ascii="Arial" w:hAnsi="Arial"/>
          <w:color w:val="000000"/>
        </w:rPr>
        <w:t xml:space="preserve"> to rozwiązanie dla gospodarstw, które oczekują dużej niezawodności w pracy i inteligentnej techniki. </w:t>
      </w:r>
    </w:p>
    <w:p w14:paraId="42E2F966" w14:textId="77777777" w:rsidR="002F76F1" w:rsidRDefault="002F76F1" w:rsidP="004C7F5C">
      <w:pPr>
        <w:pStyle w:val="Textkrper3"/>
        <w:rPr>
          <w:rFonts w:ascii="Arial" w:hAnsi="Arial" w:cs="Arial"/>
          <w:b/>
          <w:sz w:val="24"/>
          <w:szCs w:val="24"/>
        </w:rPr>
      </w:pPr>
    </w:p>
    <w:p w14:paraId="71285EB5" w14:textId="481759F5" w:rsidR="008F1E41" w:rsidRPr="008F1E41" w:rsidRDefault="004C7F5C" w:rsidP="004C7F5C">
      <w:pPr>
        <w:pStyle w:val="Textkrper3"/>
        <w:rPr>
          <w:rFonts w:ascii="Arial" w:hAnsi="Arial" w:cs="Arial"/>
          <w:b/>
          <w:sz w:val="24"/>
          <w:szCs w:val="24"/>
        </w:rPr>
      </w:pPr>
      <w:r>
        <w:rPr>
          <w:rFonts w:ascii="Arial" w:hAnsi="Arial"/>
          <w:b/>
          <w:sz w:val="24"/>
          <w:szCs w:val="24"/>
        </w:rPr>
        <w:t xml:space="preserve">Podgląd zdjęć:  </w:t>
      </w:r>
    </w:p>
    <w:tbl>
      <w:tblPr>
        <w:tblStyle w:val="Tabellenraster"/>
        <w:tblW w:w="0" w:type="auto"/>
        <w:tblLook w:val="04A0" w:firstRow="1" w:lastRow="0" w:firstColumn="1" w:lastColumn="0" w:noHBand="0" w:noVBand="1"/>
      </w:tblPr>
      <w:tblGrid>
        <w:gridCol w:w="4151"/>
        <w:gridCol w:w="4152"/>
      </w:tblGrid>
      <w:tr w:rsidR="002F76F1" w14:paraId="4D5E4E39" w14:textId="77777777" w:rsidTr="002F76F1">
        <w:tc>
          <w:tcPr>
            <w:tcW w:w="4151" w:type="dxa"/>
          </w:tcPr>
          <w:p w14:paraId="0F8B40FB" w14:textId="77777777" w:rsidR="00EC0502" w:rsidRDefault="00EC0502" w:rsidP="004C7F5C">
            <w:pPr>
              <w:pStyle w:val="Textkrper3"/>
              <w:rPr>
                <w:noProof/>
                <w:lang w:eastAsia="de-DE"/>
              </w:rPr>
            </w:pPr>
            <w:r>
              <w:rPr>
                <w:noProof/>
                <w:lang w:eastAsia="de-DE"/>
              </w:rPr>
              <w:t xml:space="preserve">                      </w:t>
            </w:r>
          </w:p>
          <w:p w14:paraId="02008F7D" w14:textId="7559154C" w:rsidR="002F76F1" w:rsidRDefault="00EC0502" w:rsidP="004C7F5C">
            <w:pPr>
              <w:pStyle w:val="Textkrper3"/>
              <w:rPr>
                <w:noProof/>
                <w:lang w:eastAsia="de-DE"/>
              </w:rPr>
            </w:pPr>
            <w:r>
              <w:rPr>
                <w:noProof/>
                <w:lang w:eastAsia="de-DE"/>
              </w:rPr>
              <w:t xml:space="preserve">                    </w:t>
            </w:r>
            <w:r>
              <w:rPr>
                <w:noProof/>
                <w:lang w:eastAsia="de-DE"/>
              </w:rPr>
              <w:drawing>
                <wp:inline distT="0" distB="0" distL="0" distR="0" wp14:anchorId="115CB7AD" wp14:editId="73C3AF3F">
                  <wp:extent cx="1146175" cy="7562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756285"/>
                          </a:xfrm>
                          <a:prstGeom prst="rect">
                            <a:avLst/>
                          </a:prstGeom>
                          <a:noFill/>
                        </pic:spPr>
                      </pic:pic>
                    </a:graphicData>
                  </a:graphic>
                </wp:inline>
              </w:drawing>
            </w:r>
          </w:p>
        </w:tc>
        <w:tc>
          <w:tcPr>
            <w:tcW w:w="4152" w:type="dxa"/>
          </w:tcPr>
          <w:p w14:paraId="78036828" w14:textId="77777777" w:rsidR="00EC0502" w:rsidRDefault="00EC0502" w:rsidP="004C7F5C">
            <w:pPr>
              <w:pStyle w:val="Textkrper3"/>
              <w:rPr>
                <w:noProof/>
                <w:lang w:eastAsia="de-DE"/>
              </w:rPr>
            </w:pPr>
          </w:p>
          <w:p w14:paraId="6A8D64BB" w14:textId="4B0FDCED" w:rsidR="00EC0502" w:rsidRDefault="00EC0502" w:rsidP="004C7F5C">
            <w:pPr>
              <w:pStyle w:val="Textkrper3"/>
              <w:rPr>
                <w:noProof/>
                <w:lang w:eastAsia="de-DE"/>
              </w:rPr>
            </w:pPr>
            <w:r>
              <w:rPr>
                <w:noProof/>
                <w:lang w:eastAsia="de-DE"/>
              </w:rPr>
              <w:t xml:space="preserve">                 </w:t>
            </w:r>
            <w:r>
              <w:rPr>
                <w:noProof/>
                <w:lang w:eastAsia="de-DE"/>
              </w:rPr>
              <w:drawing>
                <wp:inline distT="0" distB="0" distL="0" distR="0" wp14:anchorId="18BF317A" wp14:editId="63319CB7">
                  <wp:extent cx="1146175" cy="75628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756285"/>
                          </a:xfrm>
                          <a:prstGeom prst="rect">
                            <a:avLst/>
                          </a:prstGeom>
                          <a:noFill/>
                        </pic:spPr>
                      </pic:pic>
                    </a:graphicData>
                  </a:graphic>
                </wp:inline>
              </w:drawing>
            </w:r>
          </w:p>
        </w:tc>
      </w:tr>
      <w:tr w:rsidR="002F76F1" w:rsidRPr="00376E85" w14:paraId="3054827B" w14:textId="77777777" w:rsidTr="002F76F1">
        <w:tc>
          <w:tcPr>
            <w:tcW w:w="4151" w:type="dxa"/>
          </w:tcPr>
          <w:p w14:paraId="6310AB78" w14:textId="77777777" w:rsidR="00EC0502" w:rsidRDefault="00EC0502" w:rsidP="002F76F1">
            <w:pPr>
              <w:pStyle w:val="Textkrper3"/>
              <w:jc w:val="center"/>
              <w:rPr>
                <w:rFonts w:ascii="Arial" w:hAnsi="Arial"/>
                <w:sz w:val="22"/>
                <w:szCs w:val="22"/>
              </w:rPr>
            </w:pPr>
          </w:p>
          <w:p w14:paraId="5FC08C19" w14:textId="7BD63087" w:rsidR="002F76F1" w:rsidRDefault="002F76F1" w:rsidP="002F76F1">
            <w:pPr>
              <w:pStyle w:val="Textkrper3"/>
              <w:jc w:val="center"/>
              <w:rPr>
                <w:rFonts w:ascii="Arial" w:hAnsi="Arial" w:cs="Arial"/>
                <w:sz w:val="22"/>
                <w:szCs w:val="22"/>
              </w:rPr>
            </w:pPr>
            <w:r>
              <w:rPr>
                <w:rFonts w:ascii="Arial" w:hAnsi="Arial"/>
                <w:sz w:val="22"/>
                <w:szCs w:val="22"/>
              </w:rPr>
              <w:t>Czyste zgrabianie z nowym TOP 632 A CURVETECH</w:t>
            </w:r>
          </w:p>
          <w:p w14:paraId="35EBCDF4" w14:textId="77777777" w:rsidR="002F76F1" w:rsidRPr="002F76F1" w:rsidRDefault="002F76F1" w:rsidP="002F76F1">
            <w:pPr>
              <w:pStyle w:val="Textkrper3"/>
              <w:jc w:val="center"/>
              <w:rPr>
                <w:rFonts w:ascii="Arial" w:hAnsi="Arial" w:cs="Arial"/>
                <w:sz w:val="22"/>
                <w:szCs w:val="22"/>
              </w:rPr>
            </w:pPr>
          </w:p>
        </w:tc>
        <w:tc>
          <w:tcPr>
            <w:tcW w:w="4152" w:type="dxa"/>
          </w:tcPr>
          <w:p w14:paraId="3248DD09" w14:textId="608C0532" w:rsidR="002F76F1" w:rsidRPr="002F76F1" w:rsidRDefault="002F76F1" w:rsidP="002F76F1">
            <w:pPr>
              <w:pStyle w:val="Textkrper3"/>
              <w:jc w:val="center"/>
              <w:rPr>
                <w:rFonts w:ascii="Arial" w:hAnsi="Arial" w:cs="Arial"/>
                <w:sz w:val="22"/>
                <w:szCs w:val="22"/>
              </w:rPr>
            </w:pPr>
            <w:r>
              <w:rPr>
                <w:rFonts w:ascii="Arial" w:hAnsi="Arial"/>
                <w:sz w:val="22"/>
                <w:szCs w:val="22"/>
              </w:rPr>
              <w:t>Bezpieczna praca na stoku i kopiowanie nierówności pola to cechy wyróżniające nowy TOP 632 A CURVETECH</w:t>
            </w:r>
          </w:p>
        </w:tc>
      </w:tr>
      <w:tr w:rsidR="002F76F1" w:rsidRPr="00376E85" w14:paraId="7C342961" w14:textId="77777777" w:rsidTr="002F76F1">
        <w:tc>
          <w:tcPr>
            <w:tcW w:w="4151" w:type="dxa"/>
          </w:tcPr>
          <w:p w14:paraId="351E64DA" w14:textId="0C105BE1" w:rsidR="002F76F1" w:rsidRDefault="00EC0502" w:rsidP="004C7F5C">
            <w:pPr>
              <w:pStyle w:val="Textkrper3"/>
              <w:rPr>
                <w:noProof/>
                <w:lang w:eastAsia="de-DE"/>
              </w:rPr>
            </w:pPr>
            <w:hyperlink r:id="rId10" w:history="1">
              <w:r>
                <w:rPr>
                  <w:rStyle w:val="Hyperlink"/>
                  <w:rFonts w:ascii="Arial" w:hAnsi="Arial" w:cs="Arial"/>
                  <w:noProof/>
                  <w:sz w:val="20"/>
                  <w:szCs w:val="20"/>
                  <w:lang w:eastAsia="de-DE"/>
                </w:rPr>
                <w:t>https://www.poettinger.at/de_at/Newsroom/Pressebild/5214</w:t>
              </w:r>
            </w:hyperlink>
          </w:p>
        </w:tc>
        <w:tc>
          <w:tcPr>
            <w:tcW w:w="4152" w:type="dxa"/>
          </w:tcPr>
          <w:p w14:paraId="6A0FD390" w14:textId="28E99780" w:rsidR="002F76F1" w:rsidRDefault="00EC0502" w:rsidP="004C7F5C">
            <w:pPr>
              <w:pStyle w:val="Textkrper3"/>
              <w:rPr>
                <w:noProof/>
                <w:lang w:eastAsia="de-DE"/>
              </w:rPr>
            </w:pPr>
            <w:hyperlink r:id="rId11" w:history="1">
              <w:r>
                <w:rPr>
                  <w:rStyle w:val="Hyperlink"/>
                  <w:rFonts w:ascii="Arial" w:hAnsi="Arial" w:cs="Arial"/>
                  <w:noProof/>
                  <w:sz w:val="20"/>
                  <w:szCs w:val="20"/>
                  <w:lang w:eastAsia="de-DE"/>
                </w:rPr>
                <w:t>https://www.poettinger.at/de_at/Newsroom/Pressebild/5215</w:t>
              </w:r>
            </w:hyperlink>
          </w:p>
        </w:tc>
      </w:tr>
    </w:tbl>
    <w:p w14:paraId="69C24D41" w14:textId="77777777" w:rsidR="002F76F1" w:rsidRDefault="002F76F1" w:rsidP="004C7F5C">
      <w:pPr>
        <w:pStyle w:val="Textkrper3"/>
        <w:rPr>
          <w:noProof/>
          <w:lang w:eastAsia="de-DE"/>
        </w:rPr>
      </w:pPr>
    </w:p>
    <w:p w14:paraId="1C33C7CE" w14:textId="05B1B171" w:rsidR="002F76F1" w:rsidRDefault="002F76F1" w:rsidP="004C7F5C">
      <w:pPr>
        <w:pStyle w:val="Textkrper3"/>
      </w:pPr>
      <w:r>
        <w:rPr>
          <w:rFonts w:ascii="Arial" w:hAnsi="Arial"/>
          <w:snapToGrid w:val="0"/>
          <w:color w:val="000000"/>
          <w:sz w:val="22"/>
          <w:szCs w:val="22"/>
        </w:rPr>
        <w:t>Pozostałe zdjęcia w jakości odpowiedniej do druku:</w:t>
      </w:r>
    </w:p>
    <w:p w14:paraId="17EA55EB" w14:textId="30921C59" w:rsidR="00167F22" w:rsidRDefault="00EC0502" w:rsidP="004C7F5C">
      <w:pPr>
        <w:pStyle w:val="Textkrper3"/>
        <w:rPr>
          <w:rStyle w:val="Hyperlink"/>
          <w:rFonts w:ascii="Arial" w:hAnsi="Arial" w:cs="Arial"/>
          <w:sz w:val="20"/>
          <w:szCs w:val="20"/>
        </w:rPr>
      </w:pPr>
      <w:hyperlink r:id="rId12" w:history="1">
        <w:r w:rsidR="00102691">
          <w:rPr>
            <w:rStyle w:val="Hyperlink"/>
            <w:rFonts w:ascii="Arial" w:hAnsi="Arial"/>
            <w:sz w:val="20"/>
            <w:szCs w:val="20"/>
          </w:rPr>
          <w:t>https://www.poettinger.at/de_at/Newsroom/Pressebild/4535</w:t>
        </w:r>
      </w:hyperlink>
    </w:p>
    <w:sectPr w:rsidR="00167F22"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rPr>
    </w:pPr>
    <w:r>
      <w:rPr>
        <w:rFonts w:ascii="Arial" w:hAnsi="Arial"/>
        <w:b/>
        <w:sz w:val="18"/>
        <w:szCs w:val="18"/>
      </w:rPr>
      <w:t>PÖTTINGER Polska Sp. z o.o.</w:t>
    </w:r>
  </w:p>
  <w:p w14:paraId="6298482F" w14:textId="77777777" w:rsidR="004C157C" w:rsidRPr="002B6977" w:rsidRDefault="004C157C" w:rsidP="000072D4">
    <w:pPr>
      <w:rPr>
        <w:rFonts w:ascii="Arial" w:hAnsi="Arial" w:cs="Arial"/>
        <w:sz w:val="18"/>
        <w:szCs w:val="18"/>
      </w:rPr>
    </w:pPr>
    <w:r>
      <w:rPr>
        <w:rFonts w:ascii="Arial" w:hAnsi="Arial"/>
        <w:sz w:val="18"/>
        <w:szCs w:val="18"/>
      </w:rPr>
      <w:t>Edyta Tyrakowska, ul. Skawińska 22, 61-333 Poznań</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Tel.: +48 603 770 957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6BDAEFBA" w:rsidR="004C157C" w:rsidRPr="00164A93" w:rsidRDefault="004C157C" w:rsidP="00164A93">
    <w:pPr>
      <w:pStyle w:val="Kopfzeile"/>
      <w:rPr>
        <w:rFonts w:ascii="Arial" w:hAnsi="Arial" w:cs="Arial"/>
        <w:sz w:val="28"/>
        <w:szCs w:val="28"/>
      </w:rPr>
    </w:pPr>
    <w:r>
      <w:rPr>
        <w:rFonts w:ascii="Arial" w:hAnsi="Arial"/>
        <w:b/>
      </w:rPr>
      <w:t>Informacja prasowa</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050E5"/>
    <w:multiLevelType w:val="hybridMultilevel"/>
    <w:tmpl w:val="5AFE47BA"/>
    <w:lvl w:ilvl="0" w:tplc="20FCAAA8">
      <w:start w:val="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825587">
    <w:abstractNumId w:val="0"/>
  </w:num>
  <w:num w:numId="2" w16cid:durableId="108576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F5005"/>
    <w:rsid w:val="0010245E"/>
    <w:rsid w:val="00102691"/>
    <w:rsid w:val="00102BE2"/>
    <w:rsid w:val="00110880"/>
    <w:rsid w:val="00115487"/>
    <w:rsid w:val="001212C1"/>
    <w:rsid w:val="001357A3"/>
    <w:rsid w:val="001475E1"/>
    <w:rsid w:val="00154644"/>
    <w:rsid w:val="00164A93"/>
    <w:rsid w:val="00167F22"/>
    <w:rsid w:val="00181F74"/>
    <w:rsid w:val="00212EFC"/>
    <w:rsid w:val="00215009"/>
    <w:rsid w:val="00220839"/>
    <w:rsid w:val="00223BD4"/>
    <w:rsid w:val="0022437C"/>
    <w:rsid w:val="00236E8A"/>
    <w:rsid w:val="0025571A"/>
    <w:rsid w:val="00264C1D"/>
    <w:rsid w:val="0027298A"/>
    <w:rsid w:val="00276C93"/>
    <w:rsid w:val="002940AC"/>
    <w:rsid w:val="002974C0"/>
    <w:rsid w:val="002A6608"/>
    <w:rsid w:val="002B0015"/>
    <w:rsid w:val="002C16B6"/>
    <w:rsid w:val="002C475C"/>
    <w:rsid w:val="002D02AC"/>
    <w:rsid w:val="002D171C"/>
    <w:rsid w:val="002E71CF"/>
    <w:rsid w:val="002F76F1"/>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76E85"/>
    <w:rsid w:val="00385339"/>
    <w:rsid w:val="003B33DF"/>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0A0E"/>
    <w:rsid w:val="004E64D5"/>
    <w:rsid w:val="004F2AD2"/>
    <w:rsid w:val="00512257"/>
    <w:rsid w:val="0051518A"/>
    <w:rsid w:val="00516783"/>
    <w:rsid w:val="00523E61"/>
    <w:rsid w:val="00537C30"/>
    <w:rsid w:val="0055684C"/>
    <w:rsid w:val="00580261"/>
    <w:rsid w:val="005B533E"/>
    <w:rsid w:val="005C1C9B"/>
    <w:rsid w:val="005C202C"/>
    <w:rsid w:val="005C35CD"/>
    <w:rsid w:val="005F6501"/>
    <w:rsid w:val="00620C04"/>
    <w:rsid w:val="006529B2"/>
    <w:rsid w:val="006621C7"/>
    <w:rsid w:val="00676E15"/>
    <w:rsid w:val="00693EC5"/>
    <w:rsid w:val="006C0A2F"/>
    <w:rsid w:val="006D26D5"/>
    <w:rsid w:val="006D5EAC"/>
    <w:rsid w:val="006D6056"/>
    <w:rsid w:val="006D7EBA"/>
    <w:rsid w:val="006E48E1"/>
    <w:rsid w:val="006E7F3C"/>
    <w:rsid w:val="006F2305"/>
    <w:rsid w:val="006F4355"/>
    <w:rsid w:val="00700516"/>
    <w:rsid w:val="0072131A"/>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43521"/>
    <w:rsid w:val="0085104F"/>
    <w:rsid w:val="00871763"/>
    <w:rsid w:val="00896EDB"/>
    <w:rsid w:val="008A2819"/>
    <w:rsid w:val="008A6D0C"/>
    <w:rsid w:val="008B4166"/>
    <w:rsid w:val="008C0D16"/>
    <w:rsid w:val="008D66F5"/>
    <w:rsid w:val="008E2CC1"/>
    <w:rsid w:val="008F08D0"/>
    <w:rsid w:val="008F1E41"/>
    <w:rsid w:val="008F25AE"/>
    <w:rsid w:val="008F2753"/>
    <w:rsid w:val="00902F84"/>
    <w:rsid w:val="00903022"/>
    <w:rsid w:val="009051BF"/>
    <w:rsid w:val="00907CA1"/>
    <w:rsid w:val="00913992"/>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972E9"/>
    <w:rsid w:val="00AA3D20"/>
    <w:rsid w:val="00AA6649"/>
    <w:rsid w:val="00AB0934"/>
    <w:rsid w:val="00AB4167"/>
    <w:rsid w:val="00AB70FA"/>
    <w:rsid w:val="00AC2B53"/>
    <w:rsid w:val="00AC35BA"/>
    <w:rsid w:val="00AD403F"/>
    <w:rsid w:val="00AF1744"/>
    <w:rsid w:val="00AF3AF2"/>
    <w:rsid w:val="00B067B9"/>
    <w:rsid w:val="00B13834"/>
    <w:rsid w:val="00B200F3"/>
    <w:rsid w:val="00B217FF"/>
    <w:rsid w:val="00B21EC8"/>
    <w:rsid w:val="00B46970"/>
    <w:rsid w:val="00B5229F"/>
    <w:rsid w:val="00BA1CD7"/>
    <w:rsid w:val="00BC1DAA"/>
    <w:rsid w:val="00BD4D57"/>
    <w:rsid w:val="00BE725A"/>
    <w:rsid w:val="00BF7498"/>
    <w:rsid w:val="00C051C9"/>
    <w:rsid w:val="00C13194"/>
    <w:rsid w:val="00C255A6"/>
    <w:rsid w:val="00C81E42"/>
    <w:rsid w:val="00C86DB6"/>
    <w:rsid w:val="00C954F7"/>
    <w:rsid w:val="00CA199E"/>
    <w:rsid w:val="00CA1E76"/>
    <w:rsid w:val="00CB670D"/>
    <w:rsid w:val="00CC44C2"/>
    <w:rsid w:val="00CF042C"/>
    <w:rsid w:val="00CF19B0"/>
    <w:rsid w:val="00D01E89"/>
    <w:rsid w:val="00D152A5"/>
    <w:rsid w:val="00D23B81"/>
    <w:rsid w:val="00D30B1E"/>
    <w:rsid w:val="00D4074D"/>
    <w:rsid w:val="00D4767F"/>
    <w:rsid w:val="00D708FF"/>
    <w:rsid w:val="00D722A4"/>
    <w:rsid w:val="00D731A2"/>
    <w:rsid w:val="00D737CD"/>
    <w:rsid w:val="00D97481"/>
    <w:rsid w:val="00DA4CBC"/>
    <w:rsid w:val="00DA6F0D"/>
    <w:rsid w:val="00DC37C9"/>
    <w:rsid w:val="00DE40E5"/>
    <w:rsid w:val="00DF7C11"/>
    <w:rsid w:val="00E15C1B"/>
    <w:rsid w:val="00E510C4"/>
    <w:rsid w:val="00E53C3E"/>
    <w:rsid w:val="00E54FB4"/>
    <w:rsid w:val="00E554DD"/>
    <w:rsid w:val="00E61144"/>
    <w:rsid w:val="00E76C27"/>
    <w:rsid w:val="00E76E99"/>
    <w:rsid w:val="00EB547A"/>
    <w:rsid w:val="00EC0502"/>
    <w:rsid w:val="00ED05DF"/>
    <w:rsid w:val="00ED2B8F"/>
    <w:rsid w:val="00ED7658"/>
    <w:rsid w:val="00ED7A66"/>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pl-PL"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pl-PL"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 w:type="paragraph" w:styleId="Listenabsatz">
    <w:name w:val="List Paragraph"/>
    <w:basedOn w:val="Standard"/>
    <w:uiPriority w:val="34"/>
    <w:qFormat/>
    <w:rsid w:val="00DE40E5"/>
    <w:pPr>
      <w:ind w:left="720"/>
      <w:contextualSpacing/>
    </w:pPr>
  </w:style>
  <w:style w:type="paragraph" w:customStyle="1" w:styleId="CP">
    <w:name w:val="CP"/>
    <w:basedOn w:val="Standard"/>
    <w:next w:val="Standard"/>
    <w:uiPriority w:val="99"/>
    <w:rsid w:val="002F76F1"/>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Kommentarzeichen">
    <w:name w:val="annotation reference"/>
    <w:basedOn w:val="Absatz-Standardschriftart"/>
    <w:uiPriority w:val="99"/>
    <w:semiHidden/>
    <w:unhideWhenUsed/>
    <w:rsid w:val="003B33DF"/>
    <w:rPr>
      <w:sz w:val="16"/>
      <w:szCs w:val="16"/>
    </w:rPr>
  </w:style>
  <w:style w:type="paragraph" w:styleId="Kommentartext">
    <w:name w:val="annotation text"/>
    <w:basedOn w:val="Standard"/>
    <w:link w:val="KommentartextZchn"/>
    <w:uiPriority w:val="99"/>
    <w:unhideWhenUsed/>
    <w:rsid w:val="003B33DF"/>
    <w:rPr>
      <w:sz w:val="20"/>
      <w:szCs w:val="20"/>
    </w:rPr>
  </w:style>
  <w:style w:type="character" w:customStyle="1" w:styleId="KommentartextZchn">
    <w:name w:val="Kommentartext Zchn"/>
    <w:basedOn w:val="Absatz-Standardschriftart"/>
    <w:link w:val="Kommentartext"/>
    <w:uiPriority w:val="99"/>
    <w:rsid w:val="003B33DF"/>
    <w:rPr>
      <w:lang w:val="pl-PL" w:eastAsia="en-US"/>
    </w:rPr>
  </w:style>
  <w:style w:type="paragraph" w:styleId="Kommentarthema">
    <w:name w:val="annotation subject"/>
    <w:basedOn w:val="Kommentartext"/>
    <w:next w:val="Kommentartext"/>
    <w:link w:val="KommentarthemaZchn"/>
    <w:uiPriority w:val="99"/>
    <w:semiHidden/>
    <w:unhideWhenUsed/>
    <w:rsid w:val="003B33DF"/>
    <w:rPr>
      <w:b/>
      <w:bCs/>
    </w:rPr>
  </w:style>
  <w:style w:type="character" w:customStyle="1" w:styleId="KommentarthemaZchn">
    <w:name w:val="Kommentarthema Zchn"/>
    <w:basedOn w:val="KommentartextZchn"/>
    <w:link w:val="Kommentarthema"/>
    <w:uiPriority w:val="99"/>
    <w:semiHidden/>
    <w:rsid w:val="003B33DF"/>
    <w:rPr>
      <w:b/>
      <w:bCs/>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de_at/Newsroom/Pressebild/45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2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21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579D4-C380-49D3-AFFA-D8531594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TOP 632 A CURVETECH</vt:lpstr>
    </vt:vector>
  </TitlesOfParts>
  <Company>PÖTTINGER Landtechnik GmbH</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632 A CURVETECH</dc:title>
  <dc:creator>steiing</dc:creator>
  <cp:lastModifiedBy>Tyrakowska Edyta</cp:lastModifiedBy>
  <cp:revision>3</cp:revision>
  <cp:lastPrinted>2022-05-24T12:37:00Z</cp:lastPrinted>
  <dcterms:created xsi:type="dcterms:W3CDTF">2022-06-08T11:18:00Z</dcterms:created>
  <dcterms:modified xsi:type="dcterms:W3CDTF">2022-08-23T07:52:00Z</dcterms:modified>
</cp:coreProperties>
</file>